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978" w:rsidRPr="00972978" w:rsidRDefault="00972978" w:rsidP="00972978">
      <w:pPr>
        <w:jc w:val="both"/>
        <w:rPr>
          <w:rFonts w:cstheme="minorHAnsi"/>
          <w:b/>
          <w:bCs/>
        </w:rPr>
      </w:pPr>
      <w:r w:rsidRPr="00972978">
        <w:rPr>
          <w:rFonts w:cstheme="minorHAnsi"/>
          <w:b/>
          <w:bCs/>
        </w:rPr>
        <w:t xml:space="preserve">Progetto di ricerca e piano attività </w:t>
      </w:r>
    </w:p>
    <w:p w:rsidR="008A3380" w:rsidRDefault="00972978">
      <w:pPr>
        <w:rPr>
          <w:rFonts w:cstheme="minorHAnsi"/>
        </w:rPr>
      </w:pPr>
      <w:r w:rsidRPr="00972978">
        <w:rPr>
          <w:rFonts w:cstheme="minorHAnsi"/>
        </w:rPr>
        <w:t>Titolo</w:t>
      </w:r>
      <w:r>
        <w:rPr>
          <w:rFonts w:cstheme="minorHAnsi"/>
        </w:rPr>
        <w:t>:</w:t>
      </w:r>
      <w:r w:rsidRPr="00972978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="00D11C16">
        <w:t>Modelli e strumenti</w:t>
      </w:r>
      <w:r w:rsidR="00D11C16" w:rsidRPr="006E2237">
        <w:t xml:space="preserve"> innovativ</w:t>
      </w:r>
      <w:r w:rsidR="00D11C16">
        <w:t>i</w:t>
      </w:r>
      <w:r w:rsidR="00D11C16" w:rsidRPr="006E2237">
        <w:t xml:space="preserve"> per la tracciabilità indoor dei flussi logistici</w:t>
      </w:r>
      <w:r>
        <w:rPr>
          <w:rFonts w:cstheme="minorHAnsi"/>
        </w:rPr>
        <w:t>”</w:t>
      </w:r>
    </w:p>
    <w:p w:rsidR="00972978" w:rsidRDefault="00972978">
      <w:pPr>
        <w:rPr>
          <w:rFonts w:cstheme="minorHAnsi"/>
        </w:rPr>
      </w:pPr>
    </w:p>
    <w:p w:rsidR="00972978" w:rsidRPr="00972978" w:rsidRDefault="00972978" w:rsidP="00972978">
      <w:pPr>
        <w:rPr>
          <w:rFonts w:cstheme="minorHAnsi"/>
        </w:rPr>
      </w:pPr>
      <w:r>
        <w:rPr>
          <w:rFonts w:cstheme="minorHAnsi"/>
        </w:rPr>
        <w:t xml:space="preserve">Il progetto di ricerca si allinea alle attività di ricerca previste nell’ambito del contratto di consulenza </w:t>
      </w:r>
      <w:r w:rsidR="001A27C9">
        <w:rPr>
          <w:rFonts w:cstheme="minorHAnsi"/>
        </w:rPr>
        <w:t>tra il dipartimento di Ingegneria Industriale (</w:t>
      </w:r>
      <w:r>
        <w:rPr>
          <w:rFonts w:cstheme="minorHAnsi"/>
        </w:rPr>
        <w:t>DIN</w:t>
      </w:r>
      <w:r w:rsidR="001A27C9">
        <w:rPr>
          <w:rFonts w:cstheme="minorHAnsi"/>
        </w:rPr>
        <w:t xml:space="preserve">) – e </w:t>
      </w:r>
      <w:proofErr w:type="spellStart"/>
      <w:r>
        <w:rPr>
          <w:rFonts w:cstheme="minorHAnsi"/>
        </w:rPr>
        <w:t>Birex</w:t>
      </w:r>
      <w:proofErr w:type="spellEnd"/>
      <w:r w:rsidR="001A27C9">
        <w:rPr>
          <w:rFonts w:cstheme="minorHAnsi"/>
        </w:rPr>
        <w:t xml:space="preserve"> (Big Data </w:t>
      </w:r>
      <w:proofErr w:type="spellStart"/>
      <w:r w:rsidR="001A27C9">
        <w:rPr>
          <w:rFonts w:cstheme="minorHAnsi"/>
        </w:rPr>
        <w:t>Research</w:t>
      </w:r>
      <w:proofErr w:type="spellEnd"/>
      <w:r w:rsidR="001A27C9">
        <w:rPr>
          <w:rFonts w:cstheme="minorHAnsi"/>
        </w:rPr>
        <w:t xml:space="preserve"> and Innovative </w:t>
      </w:r>
      <w:proofErr w:type="spellStart"/>
      <w:r w:rsidR="001A27C9">
        <w:rPr>
          <w:rFonts w:cstheme="minorHAnsi"/>
        </w:rPr>
        <w:t>Excellent</w:t>
      </w:r>
      <w:proofErr w:type="spellEnd"/>
      <w:r w:rsidR="001A27C9">
        <w:rPr>
          <w:rFonts w:cstheme="minorHAnsi"/>
        </w:rPr>
        <w:t>)</w:t>
      </w:r>
      <w:r>
        <w:rPr>
          <w:rFonts w:cstheme="minorHAnsi"/>
        </w:rPr>
        <w:t xml:space="preserve"> per l’</w:t>
      </w:r>
      <w:r w:rsidRPr="00972978">
        <w:rPr>
          <w:rFonts w:cstheme="minorHAnsi"/>
        </w:rPr>
        <w:t>esecuzione di attività di ricerca sul seguente tema:</w:t>
      </w:r>
    </w:p>
    <w:p w:rsidR="00972978" w:rsidRPr="00972978" w:rsidRDefault="00972978" w:rsidP="00972978">
      <w:pPr>
        <w:rPr>
          <w:rFonts w:cstheme="minorHAnsi"/>
        </w:rPr>
      </w:pPr>
      <w:r w:rsidRPr="00972978">
        <w:rPr>
          <w:rFonts w:cstheme="minorHAnsi"/>
        </w:rPr>
        <w:t xml:space="preserve">̀INDOOR TRACEABILITY. Tracciabilità indoor per la gestione </w:t>
      </w:r>
      <w:proofErr w:type="gramStart"/>
      <w:r w:rsidRPr="00972978">
        <w:rPr>
          <w:rFonts w:cstheme="minorHAnsi"/>
        </w:rPr>
        <w:t>pro-attiva</w:t>
      </w:r>
      <w:proofErr w:type="gramEnd"/>
      <w:r w:rsidRPr="00972978">
        <w:rPr>
          <w:rFonts w:cstheme="minorHAnsi"/>
        </w:rPr>
        <w:t xml:space="preserve"> dei</w:t>
      </w:r>
    </w:p>
    <w:p w:rsidR="00972978" w:rsidRDefault="00972978" w:rsidP="00972978">
      <w:pPr>
        <w:rPr>
          <w:rFonts w:cstheme="minorHAnsi"/>
        </w:rPr>
      </w:pPr>
      <w:r w:rsidRPr="00972978">
        <w:rPr>
          <w:rFonts w:cstheme="minorHAnsi"/>
        </w:rPr>
        <w:t xml:space="preserve">flussi logistici - </w:t>
      </w:r>
      <w:proofErr w:type="spellStart"/>
      <w:r w:rsidRPr="00972978">
        <w:rPr>
          <w:rFonts w:cstheme="minorHAnsi"/>
        </w:rPr>
        <w:t>INTrace</w:t>
      </w:r>
      <w:proofErr w:type="spellEnd"/>
      <w:r w:rsidRPr="00972978">
        <w:rPr>
          <w:rFonts w:cstheme="minorHAnsi"/>
        </w:rPr>
        <w:t>.</w:t>
      </w:r>
    </w:p>
    <w:p w:rsidR="00972978" w:rsidRDefault="00972978" w:rsidP="00972978">
      <w:pPr>
        <w:rPr>
          <w:rFonts w:cstheme="minorHAnsi"/>
        </w:rPr>
      </w:pPr>
    </w:p>
    <w:p w:rsidR="00972978" w:rsidRDefault="00972978" w:rsidP="00972978">
      <w:pPr>
        <w:rPr>
          <w:rFonts w:cstheme="minorHAnsi"/>
        </w:rPr>
      </w:pPr>
      <w:r>
        <w:rPr>
          <w:rFonts w:cstheme="minorHAnsi"/>
        </w:rPr>
        <w:t>Più precisamente un elenco non esaustivo delle attività di ricerca è il seguente:</w:t>
      </w:r>
    </w:p>
    <w:p w:rsidR="00972978" w:rsidRDefault="00972978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Mappatura dei processi e dei sistemi di produzione presso alcune aziende manifatturiere del territorio (</w:t>
      </w:r>
      <w:proofErr w:type="spellStart"/>
      <w:r>
        <w:rPr>
          <w:rFonts w:cstheme="minorHAnsi"/>
        </w:rPr>
        <w:t>Sacmi</w:t>
      </w:r>
      <w:proofErr w:type="spellEnd"/>
      <w:r>
        <w:rPr>
          <w:rFonts w:cstheme="minorHAnsi"/>
        </w:rPr>
        <w:t xml:space="preserve">, Bonfiglioli e </w:t>
      </w:r>
      <w:proofErr w:type="spellStart"/>
      <w:r>
        <w:rPr>
          <w:rFonts w:cstheme="minorHAnsi"/>
        </w:rPr>
        <w:t>Philp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Morris</w:t>
      </w:r>
      <w:proofErr w:type="spellEnd"/>
      <w:r>
        <w:rPr>
          <w:rFonts w:cstheme="minorHAnsi"/>
        </w:rPr>
        <w:t>). Analisi dei requisiti produttivi e logistici dei sistemi di produzione che ospiteranno le soluzioni innovative di tracciabilità indoor;</w:t>
      </w:r>
    </w:p>
    <w:p w:rsidR="00972978" w:rsidRDefault="00972978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Studio di fattibilità tecnica</w:t>
      </w:r>
      <w:r w:rsidR="00703BF3">
        <w:rPr>
          <w:rFonts w:cstheme="minorHAnsi"/>
        </w:rPr>
        <w:t xml:space="preserve"> economica di soluzioni di tracciabilità indoor.</w:t>
      </w:r>
    </w:p>
    <w:p w:rsidR="00703BF3" w:rsidRDefault="00703BF3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Analisi del layout, dei flussi di materiale e della logistica </w:t>
      </w:r>
      <w:r w:rsidR="00694749">
        <w:rPr>
          <w:rFonts w:cstheme="minorHAnsi"/>
        </w:rPr>
        <w:t xml:space="preserve">per l’implementazione di soluzioni innovative per la tracciabilità indoor, con </w:t>
      </w:r>
      <w:r w:rsidR="00422A61">
        <w:rPr>
          <w:rFonts w:cstheme="minorHAnsi"/>
        </w:rPr>
        <w:t>riferimento</w:t>
      </w:r>
      <w:r w:rsidR="00694749">
        <w:rPr>
          <w:rFonts w:cstheme="minorHAnsi"/>
        </w:rPr>
        <w:t xml:space="preserve"> alle aziende di cui sopra.</w:t>
      </w:r>
    </w:p>
    <w:p w:rsidR="00694749" w:rsidRDefault="00694749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Studio della letteratura sulle soluzioni di tracciabilità indoor.</w:t>
      </w:r>
    </w:p>
    <w:p w:rsidR="00694749" w:rsidRDefault="00694749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Analisi prestazionale ed economica delle soluzioni identificate.</w:t>
      </w:r>
    </w:p>
    <w:p w:rsidR="00694749" w:rsidRDefault="00694749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Implementazione di soluzioni pilota.</w:t>
      </w:r>
    </w:p>
    <w:p w:rsidR="00694749" w:rsidRDefault="00694749" w:rsidP="00972978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Analisi e rendicontazione dei risultati.</w:t>
      </w:r>
    </w:p>
    <w:p w:rsidR="00422A61" w:rsidRDefault="00422A61" w:rsidP="00422A61">
      <w:pPr>
        <w:rPr>
          <w:rFonts w:cstheme="minorHAnsi"/>
        </w:rPr>
      </w:pPr>
    </w:p>
    <w:p w:rsidR="00422A61" w:rsidRPr="00D11C16" w:rsidRDefault="00422A61" w:rsidP="00422A61">
      <w:pPr>
        <w:rPr>
          <w:rFonts w:cstheme="minorHAnsi"/>
          <w:lang w:val="en-US"/>
        </w:rPr>
      </w:pPr>
      <w:r w:rsidRPr="00D11C16">
        <w:rPr>
          <w:rFonts w:cstheme="minorHAnsi"/>
          <w:lang w:val="en-US"/>
        </w:rPr>
        <w:t>-----</w:t>
      </w:r>
    </w:p>
    <w:p w:rsidR="00694749" w:rsidRPr="00D11C16" w:rsidRDefault="00694749" w:rsidP="00694749">
      <w:pPr>
        <w:rPr>
          <w:rFonts w:cstheme="minorHAnsi"/>
          <w:lang w:val="en-US"/>
        </w:rPr>
      </w:pPr>
    </w:p>
    <w:p w:rsidR="00694749" w:rsidRPr="00422A61" w:rsidRDefault="00694749" w:rsidP="00694749">
      <w:p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Title: “</w:t>
      </w:r>
      <w:r w:rsidR="00D11C16">
        <w:rPr>
          <w:rFonts w:cstheme="minorHAnsi"/>
          <w:lang w:val="en-US"/>
        </w:rPr>
        <w:t>Models and tools</w:t>
      </w:r>
      <w:r w:rsidR="001A27C9" w:rsidRPr="00422A61">
        <w:rPr>
          <w:rFonts w:cstheme="minorHAnsi"/>
          <w:lang w:val="en-US"/>
        </w:rPr>
        <w:t xml:space="preserve"> for indoor traceability of logistics flow of materials</w:t>
      </w:r>
      <w:r w:rsidRPr="00422A61">
        <w:rPr>
          <w:rFonts w:cstheme="minorHAnsi"/>
          <w:lang w:val="en-US"/>
        </w:rPr>
        <w:t>”</w:t>
      </w:r>
    </w:p>
    <w:p w:rsidR="001A27C9" w:rsidRPr="00422A61" w:rsidRDefault="001A27C9" w:rsidP="00694749">
      <w:p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This project deals with research &amp; development activities defined by the contract DIN-</w:t>
      </w:r>
      <w:proofErr w:type="spellStart"/>
      <w:r w:rsidRPr="00422A61">
        <w:rPr>
          <w:rFonts w:cstheme="minorHAnsi"/>
          <w:lang w:val="en-US"/>
        </w:rPr>
        <w:t>Birex</w:t>
      </w:r>
      <w:proofErr w:type="spellEnd"/>
      <w:r w:rsidR="00422A61" w:rsidRPr="00422A61">
        <w:rPr>
          <w:rFonts w:cstheme="minorHAnsi"/>
          <w:lang w:val="en-US"/>
        </w:rPr>
        <w:t xml:space="preserve"> (Big Data Research and Innovative Excellent research center)</w:t>
      </w:r>
      <w:r w:rsidRPr="00422A61">
        <w:rPr>
          <w:rFonts w:cstheme="minorHAnsi"/>
          <w:lang w:val="en-US"/>
        </w:rPr>
        <w:t xml:space="preserve"> on the following topics: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Mapping and analysis of the processes and production systems in some manufacturing companies (</w:t>
      </w:r>
      <w:proofErr w:type="spellStart"/>
      <w:r w:rsidRPr="00422A61">
        <w:rPr>
          <w:rFonts w:cstheme="minorHAnsi"/>
          <w:lang w:val="en-US"/>
        </w:rPr>
        <w:t>Sacmi</w:t>
      </w:r>
      <w:proofErr w:type="spellEnd"/>
      <w:r w:rsidRPr="00422A61">
        <w:rPr>
          <w:rFonts w:cstheme="minorHAnsi"/>
          <w:lang w:val="en-US"/>
        </w:rPr>
        <w:t xml:space="preserve">, </w:t>
      </w:r>
      <w:proofErr w:type="spellStart"/>
      <w:r w:rsidRPr="00422A61">
        <w:rPr>
          <w:rFonts w:cstheme="minorHAnsi"/>
          <w:lang w:val="en-US"/>
        </w:rPr>
        <w:t>Bonfiglioli</w:t>
      </w:r>
      <w:proofErr w:type="spellEnd"/>
      <w:r w:rsidRPr="00422A61">
        <w:rPr>
          <w:rFonts w:cstheme="minorHAnsi"/>
          <w:lang w:val="en-US"/>
        </w:rPr>
        <w:t xml:space="preserve"> and Philip Morris). Definition of the production and logistics requirements coming from the pilots and applications selected for the research and development activities;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 xml:space="preserve">Plant layout, </w:t>
      </w:r>
      <w:r w:rsidR="0015561A" w:rsidRPr="00422A61">
        <w:rPr>
          <w:rFonts w:cstheme="minorHAnsi"/>
          <w:lang w:val="en-US"/>
        </w:rPr>
        <w:t>mat</w:t>
      </w:r>
      <w:r w:rsidR="0015561A">
        <w:rPr>
          <w:rFonts w:cstheme="minorHAnsi"/>
          <w:lang w:val="en-US"/>
        </w:rPr>
        <w:t>erial</w:t>
      </w:r>
      <w:r w:rsidRPr="00422A61">
        <w:rPr>
          <w:rFonts w:cstheme="minorHAnsi"/>
          <w:lang w:val="en-US"/>
        </w:rPr>
        <w:t xml:space="preserve"> flow</w:t>
      </w:r>
      <w:r>
        <w:rPr>
          <w:rFonts w:cstheme="minorHAnsi"/>
          <w:lang w:val="en-US"/>
        </w:rPr>
        <w:t>s</w:t>
      </w:r>
      <w:r w:rsidRPr="00422A61">
        <w:rPr>
          <w:rFonts w:cstheme="minorHAnsi"/>
          <w:lang w:val="en-US"/>
        </w:rPr>
        <w:t xml:space="preserve"> and logistics analyses for the implementation of innovative solutions for the indoor traceability;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Literature review and taxonomy analysis;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Performance analysis of the proposed and selected solutions;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>Implementation of pilots;</w:t>
      </w:r>
    </w:p>
    <w:p w:rsidR="00422A61" w:rsidRPr="00422A61" w:rsidRDefault="00422A61" w:rsidP="00422A61">
      <w:pPr>
        <w:pStyle w:val="Paragrafoelenco"/>
        <w:numPr>
          <w:ilvl w:val="0"/>
          <w:numId w:val="2"/>
        </w:numPr>
        <w:rPr>
          <w:rFonts w:cstheme="minorHAnsi"/>
          <w:lang w:val="en-US"/>
        </w:rPr>
      </w:pPr>
      <w:r w:rsidRPr="00422A61">
        <w:rPr>
          <w:rFonts w:cstheme="minorHAnsi"/>
          <w:lang w:val="en-US"/>
        </w:rPr>
        <w:t xml:space="preserve">Analyses of results.  </w:t>
      </w:r>
    </w:p>
    <w:sectPr w:rsidR="00422A61" w:rsidRPr="00422A61" w:rsidSect="00AF79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279F3"/>
    <w:multiLevelType w:val="hybridMultilevel"/>
    <w:tmpl w:val="64E08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57C7"/>
    <w:multiLevelType w:val="hybridMultilevel"/>
    <w:tmpl w:val="4A6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8"/>
    <w:rsid w:val="0015561A"/>
    <w:rsid w:val="001A27C9"/>
    <w:rsid w:val="00422A61"/>
    <w:rsid w:val="00694749"/>
    <w:rsid w:val="00703BF3"/>
    <w:rsid w:val="008A3380"/>
    <w:rsid w:val="00972978"/>
    <w:rsid w:val="00AF7993"/>
    <w:rsid w:val="00B166BC"/>
    <w:rsid w:val="00D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1A631"/>
  <w15:chartTrackingRefBased/>
  <w15:docId w15:val="{D0A5703A-3B37-D840-90C6-4668A30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729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9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7C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7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Riccardo Manzini</cp:lastModifiedBy>
  <cp:revision>4</cp:revision>
  <dcterms:created xsi:type="dcterms:W3CDTF">2020-07-13T12:58:00Z</dcterms:created>
  <dcterms:modified xsi:type="dcterms:W3CDTF">2020-10-30T14:15:00Z</dcterms:modified>
</cp:coreProperties>
</file>